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tabs>
          <w:tab w:val="right" w:pos="9026"/>
        </w:tabs>
        <w:spacing w:after="20"/>
      </w:pPr>
      <w:r>
        <w:rPr>
          <w:rFonts w:ascii="Times New Roman" w:cs="Times New Roman" w:eastAsia="Times New Roman" w:hAnsi="Times New Roman"/>
          <w:b/>
          <w:bCs/>
          <w:color w:val="000000"/>
          <w:sz w:val="28"/>
          <w:szCs w:val="28"/>
        </w:rPr>
        <w:t xml:space="preserve">Tend</w:t>
      </w:r>
      <w:r>
        <w:rPr>
          <w:rFonts w:ascii="Times New Roman" w:cs="Times New Roman" w:eastAsia="Times New Roman" w:hAnsi="Times New Roman"/>
          <w:b/>
          <w:bCs/>
          <w:color w:val="00B050"/>
          <w:sz w:val="28"/>
          <w:szCs w:val="28"/>
        </w:rPr>
        <w:t xml:space="preserve">Go</w:t>
      </w:r>
      <w:r>
        <w:t xml:space="preserve">	</w:t>
      </w:r>
      <w:r>
        <w:rPr>
          <w:rFonts w:ascii="Times New Roman" w:cs="Times New Roman" w:eastAsia="Times New Roman" w:hAnsi="Times New Roman"/>
          <w:color w:val="808080"/>
          <w:sz w:val="20"/>
          <w:szCs w:val="20"/>
        </w:rPr>
        <w:t xml:space="preserve">tendgo.com.ua</w:t>
      </w:r>
    </w:p>
    <w:p>
      <w:pPr>
        <w:pBdr>
          <w:bottom w:val="single" w:color="E2E8F0" w:sz="6" w:space="6"/>
        </w:pBdr>
        <w:spacing w:after="20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AI-помічник для тендерної документації</w:t>
      </w:r>
    </w:p>
    <w:p>
      <w:pPr>
        <w:pBdr>
          <w:bottom w:val="single" w:color="1F4E79" w:sz="8" w:space="6"/>
        </w:pBdr>
        <w:spacing w:after="200" w:before="60"/>
      </w:pPr>
      <w:r>
        <w:rPr>
          <w:rFonts w:ascii="Times New Roman" w:cs="Times New Roman" w:eastAsia="Times New Roman" w:hAnsi="Times New Roman"/>
          <w:b/>
          <w:bCs/>
          <w:color w:val="1F4E79"/>
          <w:sz w:val="40"/>
          <w:szCs w:val="40"/>
        </w:rPr>
        <w:t xml:space="preserve">ЗВІТ АНАЛІЗУ ТЕНДЕРНОЇ ДОКУМЕНТАЦІЇ</w:t>
      </w: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1. Загальна інформація про закупівлю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9"/>
        <w:gridCol w:w="5957"/>
      </w:tblGrid>
      <w:tr>
        <w:trPr>
          <w:cantSplit/>
          <w:tblHeader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Параметр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Інформація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Назва закупівлі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Спеціальні продукти харчування, збагачені поживними речовинами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Замовник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КНП «Івано-Франківська обласна дитяча клінічна лікарня Івано-Франківської обласної ради»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Ідентифікатор закупівлі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UA-2026-08-20-007797-A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Тип предмета закупівлі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Товари (ДК 021:2015 15880000-0; постачання спеціальних продуктів харчування за заявками.)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Очікувана вартість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1 414 941,97 грн без ПДВ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Кінцевий строк подання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28.08.2026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Дата аналізу TendGo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26.08.2026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2. Короткий висновок TendGo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69"/>
        <w:gridCol w:w="5957"/>
      </w:tblGrid>
      <w:tr>
        <w:trPr>
          <w:cantSplit/>
          <w:tblHeader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Показник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Результат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Проаналізовано файлів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Виявлено документів/вимог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50 документів · 7 технічних вимог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Критичні вимоги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Ключові строки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Кінцевий строк подання пропозицій: 28.08.2026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Строк дії пропозиції: 90 днів від кінцевого строку подання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переможця: до 4 днів від повідомлення про намір укласти договір</w:t>
            </w:r>
          </w:p>
        </w:tc>
      </w:tr>
      <w:tr>
        <w:trPr>
          <w:cantSplit/>
        </w:trPr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Загальний коментар</w:t>
            </w:r>
          </w:p>
        </w:tc>
        <w:tc>
          <w:tcPr>
            <w:tcW w:type="dxa" w:w="5957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Закупівля 323 банок спеціального харчування з поставкою за заявками. Ключові перевірки: точна відповідність складу, фасування та готовність до поставки у стислий строк.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3. Перелік проаналізованих документів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"/>
        <w:gridCol w:w="4513"/>
        <w:gridCol w:w="1805"/>
        <w:gridCol w:w="2166"/>
      </w:tblGrid>
      <w:tr>
        <w:trPr>
          <w:cantSplit/>
          <w:tblHeader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Назва файлу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Тип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Статус обробки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технічна специфікація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інший додаток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3 до ТД Проєкт Договору.docx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проект договору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4 до ТД Лист-згода.docx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інший додаток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кваліфікаційні вимоги / документи учасника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6 до ТД Перелік документів Переможця.docx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кваліфікаційні вимоги / документи учасника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  <w:tr>
        <w:trPr>
          <w:cantSplit/>
        </w:trPr>
        <w:tc>
          <w:tcPr>
            <w:tcW w:type="dxa" w:w="54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51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проект договору</w:t>
            </w:r>
          </w:p>
        </w:tc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Оброблено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4. Документи, які прямо вимагаються замовником у тендерній документації</w:t>
      </w: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До цього розділу включено як документи, що вимагаються від усіх учасників без винятків, так і документи, обов'язкові за настання певної умови (статус учасника, наявність орендованого майна, спосіб підписання тощо). Умова подання зазначена для кожної позиції окремо.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4062"/>
        <w:gridCol w:w="2708"/>
        <w:gridCol w:w="1805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Документ / вимога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Умова подання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Таблиця технічних характеристик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Сертифікат відповідності спеціальних харчових продуктів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відповідність санітарному законодавству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Міжнародний сертифікат якості товару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Інструкція із застосування товару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Гарантійний лист про строк придатності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 про заходи із захисту довкілля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Копія виконаного аналогічного договору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виконання аналогічного договору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лист-відгук, накладна або акт відповідно до вимоги ТД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Самостійне декларування відсутності підстав пункту 47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Письмове погодження із загальними вимогами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Підписаний проєкт договору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Лист-згода з проєктом договору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Лист-згода на обробку персональних даних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фізосіб — представників юрособи, ФОП або фізосіб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4 до ТД Лист-згода.docx,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підприємство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повноваження підписанта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захист довкілля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країну походження товару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Лист-гарантія про дотримання законодавства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врахування норм законодавства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Обов'язково для всіх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кінцевих бенефіціарних власників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нерезидента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створення об’єднання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пропозицію подає об’єднання учасників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Лист-роз’яснення щодо сертифіката відповідності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сертифікат не є обов’язковим за законодавством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Гарантійний лист виробника / представника / дистриб’ютора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не є виробником товару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повноваження представника / дистриб’ютора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гарантійний лист виданий представником або дистриб’ютором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Таблиця відповідності медико-технічним вимогам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при пропозиції аналога або еквівалента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Висновок про еквівалентність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при пропозиції аналога або еквівалента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Лист-роз’яснення щодо документа або КЕП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документ не складається або КЕП не накладається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Копія роз’яснення державного органу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документ не складається або КЕП не накладається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країни реєстрації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нерезидента щодо вимог Додатка №5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Обґрунтування аномально низької ціни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пропозиція визначена аномально низькою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Довіреність або доручення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пропозицію подає особа, не зазначена керівником у ЄДР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Ліцензія / дозвільний документ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отримання ліцензії передбачене законом · Надається відповідно до вимоги ТД та виду діяльності учасника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непотрібність ліцензії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отримання ліцензії не передбачене законом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про законне проживання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особи з РФ, РБ або Ірану, яка законно проживає в Україні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Антикорупційна програма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вартість закупівлі дорівнює або перевищує 20 млн грн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забезпечення тендерної пропозиції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забезпечення передбачене оголошенням і ТД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38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про субпідрядника / співвиконавця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робіт або послуг у разі залучення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39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Установчий документ / код доступу до ЄДР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юридичної особи; надається один із способів відповідно до ТД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40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Рішення про модельний статут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учасник діє на підставі модельного статуту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Копія паспорта та РНОКПП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фізичної особи або ФОП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з ЄДР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доступ до відкритих реєстрів закритий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з Реєстру платників ПДВ або єдиного податку</w:t>
            </w:r>
          </w:p>
        </w:tc>
        <w:tc>
          <w:tcPr>
            <w:tcW w:type="dxa" w:w="270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доступ до реєстрів закритий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5 до ТД Перелік документів Учасника.docx, ТД спец. продукти харчув. 20.08.2026.docx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5. Рекомендовані уніфіковані документи для ТОВ / ФОП</w:t>
      </w: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ВАЖЛИВО: цей блок не є переліком вимог замовника. Тут зазначаються типові документи, які рекомендовано перевірити або підготувати, навіть якщо вони прямо не вказані в ТД. Такі позиції мають позначку «Не зазначено в ТД».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2889"/>
        <w:gridCol w:w="1083"/>
        <w:gridCol w:w="1715"/>
        <w:gridCol w:w="2888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Рекомендований документ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Для кого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Статус у ТД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Рекомендація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з ЄДР (витяг або виписка — за фактичною вимогою ТД)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за певної умови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Мати актуальний документ з ЄДР у формі, яку прямо вимагає ТД, на дату подання.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систему оподаткування (витяг ПДВ / єдиний податок)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за певної умови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Підтвердити систему оподаткування для коректного формування ціни.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 про повноваження підписанта (протокол, наказ, доручення)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у складі пропозиції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Перевірити чинність повноважень особи, яка підписує пропозицію.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Паспорт та РНОКПП підписанта / ФОП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за певної умови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Підготувати скани для ідентифікації підписанта.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Банківські реквізити та довідка про рахунок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зазначено в ТД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Потрібні для проєкту договору та розрахунків.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288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Кваліфікований електронний підпис (КЕП/УЕП)</w:t>
            </w:r>
          </w:p>
        </w:tc>
        <w:tc>
          <w:tcPr>
            <w:tcW w:type="dxa" w:w="1083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ТОВ / ФОП</w:t>
            </w:r>
          </w:p>
        </w:tc>
        <w:tc>
          <w:tcPr>
            <w:tcW w:type="dxa" w:w="171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Вимагається за певної умови</w:t>
            </w:r>
          </w:p>
        </w:tc>
        <w:tc>
          <w:tcPr>
            <w:tcW w:type="dxa" w:w="288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Перевірити строк дії підпису до кінцевого строку подання.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6. Технічні вимоги та їх підтвердження</w:t>
      </w:r>
    </w:p>
    <w:p>
      <w:pPr>
        <w:spacing w:after="12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У розділі наведено ключові технічні вимоги, які потребують перевірки або документального підтвердження у складі пропозиції. Повний перелік технічних характеристик міститься у тендерній документації.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4062"/>
        <w:gridCol w:w="2979"/>
        <w:gridCol w:w="1534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Ключова вимога / група вимог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Необхідне підтвердження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ФКУ Нутрі 2 Концентрат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білок ≥60 г/100 г; вік від 1 року; метіонін+цистин ≥3,0 г/100 г білка; тирозин ≥3,9 г/100 г білка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88 банок; герметична металева банка ≥500 г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або еквівалент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таблиця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ФКУ Нутрі 3 Концентрат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білок ≥70 г/100 г; вік від 8 років; метіонін+цистин ≥3,71 г/100 г білка; тирозин ≥4,52 г/100 г білка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74 банки; герметична металева банка ≥500 г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або еквівалент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таблиця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Коміда ФКУ В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білок ≤73 г/100 г; вік від 1 року; амінокислоти ≥88,0 г/100 г білка; метіонін+цистин ≥3,9; тирозин ≥5,8 г/100 г білка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21 банка; герметична металева банка ≥500 г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або еквівалент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таблиця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Коміда ФКУ С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ФКУ та ДФА; від 15 років, вагітних і дорослих; фенілаланін відсутній; білок ≤75; амінокислоти ≥90,0; глюкоза ≥0,4; метіонін+цистин ≥3,9; тирозин ≥7,6 г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21 банка; герметична металева банка ≥500 г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або еквівалент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таблиця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Коміда ФКУ В формула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білок ≥31 г/100 г; вік від 1 року; амінокислоти ≥37,0 г/100 г суміші; метіонін+цистин ≥1,69; тирозин ≥2,5 г/100 г білка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41 банка; герметична металева банка ≥500 г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або еквівалент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таблиця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ФКУ Нутрі 2 Енерджі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білок ≥27 г/100 г; вік від 1 року; метіонін+цистин ≥1,31 г/100 г білка; тирозин ≥2,39 г/100 г білка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39 банок; герметична металева банка ≥454 г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або еквівалент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таблиця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4062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ФКУ Нутрі 3 Енерджі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білок ≥35,4 г/100 г; для осіб від 9 років і дорослих; метіонін+цистин ≥1,68; тирозин ≥3,70 г/100 г білка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кількість: 39 банок; герметична металева банка ≥454 г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або еквівалент</w:t>
            </w:r>
          </w:p>
        </w:tc>
        <w:tc>
          <w:tcPr>
            <w:tcW w:type="dxa" w:w="297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заповнена таблиця</w:t>
            </w:r>
          </w:p>
        </w:tc>
        <w:tc>
          <w:tcPr>
            <w:tcW w:type="dxa" w:w="153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специфікація.docx, ТД спец. продукти харчув. 20.08.2026.docx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7. Ризики та критичні вимоги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64"/>
        <w:gridCol w:w="3068"/>
        <w:gridCol w:w="3069"/>
        <w:gridCol w:w="1625"/>
      </w:tblGrid>
      <w:tr>
        <w:trPr>
          <w:cantSplit/>
          <w:tblHeader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Рівень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Ризик / вимога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Рекомендована дія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Вимоги до еквівалента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Для аналога або еквівалента потрібні таблиця відповідності та висновок акредитованої державної установи; товар має повністю відповідати заданим показникам.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подання перевірте кожен показник еквівалента та завчасно отримайте висновок.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1 до ТД Технічна специфікація.docx, Додаток № 2 до ТД Загальні вимоги до предмету закупівлі.docx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Строк придатності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Документи містять різні мінімальні залишкові строки придатності при поставці: 60% та 80%. Це може ускладнити планування партій.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Запросіть роз’яснення та плануйте поставку з залишковим строком не менше 80%.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Додаток № 3 до ТД Проєкт Договору.docx,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Стисла поставка за заявкою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Поставка має відбуватися до 3 календарних днів, а нагальна потреба передбачає строк від 24 годин. Потрібен запас товару і готова логістика.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Перевірте наявність складського запасу та можливість спеціального транспортування.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3 до ТД Проєкт Договору.docx,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C0392B"/>
                <w:sz w:val="20"/>
                <w:szCs w:val="20"/>
              </w:rPr>
              <w:t xml:space="preserve">Високий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Документи виробника або дистриб’ютора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виробник повинен надати гарантійний лист, а за листа від представника чи дистриб’ютора — підтвердження його повноважень.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Отримайте лист і документ про повноваження до завершення подання пропозицій.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2 до ТД Загальні вимоги до предмету закупівлі.docx,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Штрафи за прострочення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 прострочення поставки передбачено пеню 0,1% за день, а за прострочення понад 30 днів — додатковий штраф 7%.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Врахуйте санкції у ціні та графіку поставок.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3 до ТД Проєкт Договору.docx,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Зменшення обсягу договору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Замовник може зменшити обсяги та загальну вартість залежно від фактичного фінансування.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плануйте закупівлю товару виключно під повний початковий обсяг договору.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3 до ТД Проєкт Договору.docx,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1264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D35400"/>
                <w:sz w:val="20"/>
                <w:szCs w:val="20"/>
              </w:rPr>
              <w:t xml:space="preserve">Середній</w:t>
            </w:r>
          </w:p>
        </w:tc>
        <w:tc>
          <w:tcPr>
            <w:tcW w:type="dxa" w:w="3068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Аномально низька ціна</w:t>
            </w:r>
          </w:p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Якщо пропозицію визначать аномально низькою, необхідне обґрунтування ціни у довільній формі.</w:t>
            </w:r>
          </w:p>
        </w:tc>
        <w:tc>
          <w:tcPr>
            <w:tcW w:type="dxa" w:w="306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Підготуйте калькуляцію та документи, що підтверджують економічність ціни.</w:t>
            </w:r>
          </w:p>
        </w:tc>
        <w:tc>
          <w:tcPr>
            <w:tcW w:type="dxa" w:w="162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8. Документи переможця</w:t>
      </w:r>
    </w:p>
    <w:p>
      <w:pPr>
        <w:spacing w:after="140" w:before="60"/>
      </w:pPr>
      <w:r>
        <w:rPr>
          <w:rFonts w:ascii="Times New Roman" w:cs="Times New Roman" w:eastAsia="Times New Roman" w:hAnsi="Times New Roman"/>
          <w:i/>
          <w:iCs/>
          <w:color w:val="595959"/>
          <w:sz w:val="20"/>
          <w:szCs w:val="20"/>
        </w:rPr>
        <w:t xml:space="preserve">Документи, які учасник, визначений переможцем, повинен подати після оприлюднення повідомлення про намір укласти договір — до моменту підписання договору.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"/>
        <w:gridCol w:w="3611"/>
        <w:gridCol w:w="3159"/>
        <w:gridCol w:w="1805"/>
      </w:tblGrid>
      <w:tr>
        <w:trPr>
          <w:cantSplit/>
          <w:tblHeader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№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Документ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Строк подання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з реєстру корупційних правопорушень щодо керівника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після повідомлення про намір укласти договір · для юридичної особи, якщо немає перевірки через вебресурс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6 до ТД Перелік документів Переможця.docx,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про відсутність судимості щодо керівника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після повідомлення про намір укласти договір · для юридичної особи; щодо керівника, який підписав пропозицію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6 до ТД Перелік документів Переможця.docx,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Довідка з реєстру корупційних правопорушень щодо фізособи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після повідомлення про намір укласти договір · для фізичної особи або ФОП, якщо немає перевірки через вебресурс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6 до ТД Перелік документів Переможця.docx,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Витяг про відсутність судимості щодо фізособи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після повідомлення про намір укласти договір · для фізичної особи або ФОП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6 до ТД Перелік документів Переможця.docx,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Гарантійний лист щодо даних у реєстрах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4 днів після повідомлення про намір укласти договір · якщо доступ до реєстрів обмежений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Інформація про право підписання договору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 час укладення договору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6 до ТД Перелік документів Переможця.docx,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45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type="dxa" w:w="3611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Забезпечення виконання договору</w:t>
            </w:r>
          </w:p>
        </w:tc>
        <w:tc>
          <w:tcPr>
            <w:tcW w:type="dxa" w:w="3159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під час укладення договору · якщо вимагається замовником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</w:tbl>
    <w:p>
      <w:pPr>
        <w:spacing w:after="140"/>
      </w:pPr>
    </w:p>
    <w:p>
      <w:pPr>
        <w:pStyle w:val="Heading1"/>
        <w:keepNext/>
        <w:spacing w:after="140" w:before="340"/>
      </w:pPr>
      <w:r>
        <w:rPr>
          <w:rFonts w:ascii="Times New Roman" w:cs="Times New Roman" w:eastAsia="Times New Roman" w:hAnsi="Times New Roman"/>
          <w:b/>
          <w:bCs/>
          <w:color w:val="1F4E79"/>
          <w:sz w:val="30"/>
          <w:szCs w:val="30"/>
        </w:rPr>
        <w:t xml:space="preserve">9. Умови договору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66"/>
        <w:gridCol w:w="5055"/>
        <w:gridCol w:w="1805"/>
      </w:tblGrid>
      <w:tr>
        <w:trPr>
          <w:cantSplit/>
          <w:tblHeader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Умова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Що передбачено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BF7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1F4E79"/>
                <w:sz w:val="20"/>
                <w:szCs w:val="20"/>
              </w:rPr>
              <w:t xml:space="preserve">Джерело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Строк поставки / виконання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 31.12.2026; за заявкою; до 3 календарних днів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20.08.2026.docx, Додаток № 3 до ТД Проєкт Договору.docx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Місце поставки / виконання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76018, м. Івано-Франківськ, вул. Є. Коновальця, 132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3 до ТД Проєкт Договору.docx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Умови поставки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DDP Україна, Інкотермс-2020; доставка і розвантаження коштом постачальника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3 до ТД Проєкт Договору.docx,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Умови оплати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післяоплата до 30 календарних днів після поставки за рахунком та/або накладною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3 до ТД Проєкт Договору.docx,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Валюта розрахунків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гривня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20.08.2026.docx, Додаток № 3 до ТД Проєкт Договору.docx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ПДВ / формування ціни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ціна пропозиції та очікувана вартість — без ПДВ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20.08.2026.docx, Додаток № 3 до ТД Проєкт Договору.docx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Забезпечення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Забезпечення виконання договору не вимагається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Штрафні санкції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Пеня — 0,1% за день прострочення; штраф — 7% за прострочення понад 30 днів.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3 до ТД Проєкт Договору.docx,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Гарантії та супутні зобов'язання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Не знайдено у проаналізованих документах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—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Інші суттєві положення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Одностороннє розірвання потребує повідомлення за 10 календарних днів.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Додаток № 3 до ТД Проєкт Договору.docx, ТД спец. продукти харчув. 20.08.2026.docx</w:t>
            </w:r>
          </w:p>
        </w:tc>
      </w:tr>
      <w:tr>
        <w:trPr>
          <w:cantSplit/>
        </w:trPr>
        <w:tc>
          <w:tcPr>
            <w:tcW w:type="dxa" w:w="216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Зміна істотних умов</w:t>
            </w:r>
          </w:p>
        </w:tc>
        <w:tc>
          <w:tcPr>
            <w:tcW w:type="dxa" w:w="505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лише у випадках, визначених законодавством; ціна одиниці до 10% за підтвердженого коливання</w:t>
            </w:r>
          </w:p>
        </w:tc>
        <w:tc>
          <w:tcPr>
            <w:tcW w:type="dxa" w:w="1805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 w:before="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ТД спец. продукти харчув. 20.08.2026.docx</w:t>
            </w:r>
          </w:p>
        </w:tc>
      </w:tr>
    </w:tbl>
    <w:p>
      <w:pPr>
        <w:spacing w:after="140"/>
      </w:pPr>
    </w:p>
    <w:p>
      <w:pPr>
        <w:keepNext/>
        <w:shd w:fill="FFF2CC" w:val="clear"/>
        <w:spacing w:after="60" w:before="300"/>
      </w:pPr>
      <w:r>
        <w:rPr>
          <w:rFonts w:ascii="Times New Roman" w:cs="Times New Roman" w:eastAsia="Times New Roman" w:hAnsi="Times New Roman"/>
          <w:b/>
          <w:bCs/>
          <w:color w:val="000000"/>
          <w:sz w:val="20"/>
          <w:szCs w:val="20"/>
        </w:rPr>
        <w:t xml:space="preserve">Важливо! Усунення невідповідностей протягом 24 годин</w:t>
      </w:r>
    </w:p>
    <w:p>
      <w:pPr>
        <w:spacing w:after="10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Законодавство про публічні закупівлі передбачає механізм усунення окремих невідповідностей у тендерній пропозиції протягом установленого строку (24 години) після відповідного повідомлення замовника в електронній системі.</w:t>
      </w:r>
    </w:p>
    <w:p>
      <w:pPr>
        <w:spacing w:after="100"/>
      </w:pPr>
      <w:r>
        <w:rPr>
          <w:rFonts w:ascii="Times New Roman" w:cs="Times New Roman" w:eastAsia="Times New Roman" w:hAnsi="Times New Roman"/>
          <w:color w:val="000000"/>
          <w:sz w:val="20"/>
          <w:szCs w:val="20"/>
        </w:rPr>
        <w:t xml:space="preserve">Механізм застосовується не до всіх вимог: технічні характеристики предмета закупівлі та низка інших положень виправленню в такому порядку не підлягають. Перелік випадків і винятків у кожній закупівлі слід перевіряти за умовами тендерної документації.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026"/>
      </w:tabs>
    </w:pPr>
    <w:r>
      <w:rPr>
        <w:color w:val="595959"/>
        <w:sz w:val="16"/>
        <w:szCs w:val="16"/>
      </w:rPr>
      <w:t xml:space="preserve">TendGo • Звіт аналізу тендерної документації</w:t>
    </w:r>
    <w:r>
      <w:t xml:space="preserve">	</w:t>
    </w:r>
    <w:r>
      <w:rPr>
        <w:color w:val="595959"/>
        <w:sz w:val="16"/>
        <w:szCs w:val="16"/>
      </w:rPr>
      <w:t xml:space="preserve">Стор.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з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0"/>
        <w:szCs w:val="20"/>
      </w:rPr>
    </w:rPrDefault>
    <w:pPrDefault>
      <w:pPr>
        <w:spacing w:line="33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2026-08-26T09:21:06.679Z</dcterms:created>
  <dcterms:modified xsi:type="dcterms:W3CDTF">2026-08-26T09:21:06.679Z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