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tabs>
          <w:tab w:val="right" w:pos="9026"/>
        </w:tabs>
        <w:spacing w:after="2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Tend</w:t>
      </w:r>
      <w:r>
        <w:rPr>
          <w:rFonts w:ascii="Times New Roman" w:cs="Times New Roman" w:eastAsia="Times New Roman" w:hAnsi="Times New Roman"/>
          <w:b/>
          <w:bCs/>
          <w:color w:val="00B050"/>
          <w:sz w:val="28"/>
          <w:szCs w:val="28"/>
        </w:rPr>
        <w:t xml:space="preserve">Go</w:t>
      </w:r>
      <w:r>
        <w:t xml:space="preserve">	</w:t>
      </w:r>
      <w:r>
        <w:rPr>
          <w:rFonts w:ascii="Times New Roman" w:cs="Times New Roman" w:eastAsia="Times New Roman" w:hAnsi="Times New Roman"/>
          <w:color w:val="808080"/>
          <w:sz w:val="20"/>
          <w:szCs w:val="20"/>
        </w:rPr>
        <w:t xml:space="preserve">tendgo.com.ua</w:t>
      </w:r>
    </w:p>
    <w:p>
      <w:pPr>
        <w:pBdr>
          <w:bottom w:val="single" w:color="E2E8F0" w:sz="6" w:space="6"/>
        </w:pBdr>
        <w:spacing w:after="200"/>
      </w:pPr>
      <w:r>
        <w:rPr>
          <w:rFonts w:ascii="Times New Roman" w:cs="Times New Roman" w:eastAsia="Times New Roman" w:hAnsi="Times New Roman"/>
          <w:i/>
          <w:iCs/>
          <w:color w:val="595959"/>
          <w:sz w:val="20"/>
          <w:szCs w:val="20"/>
        </w:rPr>
        <w:t xml:space="preserve">AI-помічник для тендерної документації</w:t>
      </w:r>
    </w:p>
    <w:p>
      <w:pPr>
        <w:pBdr>
          <w:bottom w:val="single" w:color="1F4E79" w:sz="8" w:space="6"/>
        </w:pBdr>
        <w:spacing w:after="200" w:before="60"/>
      </w:pPr>
      <w:r>
        <w:rPr>
          <w:rFonts w:ascii="Times New Roman" w:cs="Times New Roman" w:eastAsia="Times New Roman" w:hAnsi="Times New Roman"/>
          <w:b/>
          <w:bCs/>
          <w:color w:val="1F4E79"/>
          <w:sz w:val="40"/>
          <w:szCs w:val="40"/>
        </w:rPr>
        <w:t xml:space="preserve">ЗВІТ АНАЛІЗУ ТЕНДЕРНОЇ ДОКУМЕНТАЦІЇ</w:t>
      </w:r>
    </w:p>
    <w:p>
      <w:pPr>
        <w:pStyle w:val="Heading1"/>
        <w:keepNext/>
        <w:spacing w:after="140" w:before="340"/>
      </w:pPr>
      <w:r>
        <w:rPr>
          <w:rFonts w:ascii="Times New Roman" w:cs="Times New Roman" w:eastAsia="Times New Roman" w:hAnsi="Times New Roman"/>
          <w:b/>
          <w:bCs/>
          <w:color w:val="1F4E79"/>
          <w:sz w:val="30"/>
          <w:szCs w:val="30"/>
        </w:rPr>
        <w:t xml:space="preserve">1. Загальна інформація про закупівлю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69"/>
        <w:gridCol w:w="5957"/>
      </w:tblGrid>
      <w:tr>
        <w:trPr>
          <w:cantSplit/>
          <w:tblHeader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Параметр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Інформація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Назва закупівлі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Поточний ремонт будівель: заміна віконних, дверних блоків, обслуговування металоконструкцій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Замовник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Білоцерківський механіко-енергетичний фаховий коледж, ЄДРПОУ 05536685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Ідентифікатор закупівлі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UA-2026-08-07-011652-A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Тип предмета закупівлі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Роботи (Поточний ремонт із демонтажем, монтажем конструкцій, кошторисами та актами КБ-2в/КБ-3.)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Очікувана вартість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Не знайдено у завантажених документах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Кінцевий строк подання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15.08.2026 до 00:00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Дата аналізу TendGo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26.08.2026</w:t>
            </w:r>
          </w:p>
        </w:tc>
      </w:tr>
    </w:tbl>
    <w:p>
      <w:pPr>
        <w:spacing w:after="140"/>
      </w:pPr>
    </w:p>
    <w:p>
      <w:pPr>
        <w:pStyle w:val="Heading1"/>
        <w:keepNext/>
        <w:spacing w:after="140" w:before="340"/>
      </w:pPr>
      <w:r>
        <w:rPr>
          <w:rFonts w:ascii="Times New Roman" w:cs="Times New Roman" w:eastAsia="Times New Roman" w:hAnsi="Times New Roman"/>
          <w:b/>
          <w:bCs/>
          <w:color w:val="1F4E79"/>
          <w:sz w:val="30"/>
          <w:szCs w:val="30"/>
        </w:rPr>
        <w:t xml:space="preserve">2. Короткий висновок TendGo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69"/>
        <w:gridCol w:w="5957"/>
      </w:tblGrid>
      <w:tr>
        <w:trPr>
          <w:cantSplit/>
          <w:tblHeader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Показник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Результат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Проаналізовано файлів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7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Виявлено документів/вимог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61 документів · 20 технічних вимог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Критичні вимоги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7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Ключові строки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Кінцеве подання пропозицій: 15.08.2026 до 00:00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Строк дії пропозиції: 90 днів від кінцевого строку подання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Виконання робіт: до 20.09.2026 включно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Загальний коментар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Поточний ремонт вікон, дверей і металоконструкцій виконується до 20.09.2026. Пропозиція потребує повного кошторисного пакета, технічних сертифікатів і підтвердження аналогічного досвіду.</w:t>
            </w:r>
          </w:p>
        </w:tc>
      </w:tr>
    </w:tbl>
    <w:p>
      <w:pPr>
        <w:spacing w:after="140"/>
      </w:pPr>
    </w:p>
    <w:p>
      <w:pPr>
        <w:pStyle w:val="Heading1"/>
        <w:keepNext/>
        <w:spacing w:after="140" w:before="340"/>
      </w:pPr>
      <w:r>
        <w:rPr>
          <w:rFonts w:ascii="Times New Roman" w:cs="Times New Roman" w:eastAsia="Times New Roman" w:hAnsi="Times New Roman"/>
          <w:b/>
          <w:bCs/>
          <w:color w:val="1F4E79"/>
          <w:sz w:val="30"/>
          <w:szCs w:val="30"/>
        </w:rPr>
        <w:t xml:space="preserve">3. Перелік проаналізованих документів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2"/>
        <w:gridCol w:w="4513"/>
        <w:gridCol w:w="1805"/>
        <w:gridCol w:w="2166"/>
      </w:tblGrid>
      <w:tr>
        <w:trPr>
          <w:cantSplit/>
          <w:tblHeader/>
        </w:trPr>
        <w:tc>
          <w:tcPr>
            <w:tcW w:type="dxa" w:w="54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№</w:t>
            </w:r>
          </w:p>
        </w:tc>
        <w:tc>
          <w:tcPr>
            <w:tcW w:type="dxa" w:w="451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Назва файлу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Тип</w:t>
            </w:r>
          </w:p>
        </w:tc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Статус обробки</w:t>
            </w:r>
          </w:p>
        </w:tc>
      </w:tr>
      <w:tr>
        <w:trPr>
          <w:cantSplit/>
        </w:trPr>
        <w:tc>
          <w:tcPr>
            <w:tcW w:type="dxa" w:w="54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451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4_ Проект договору (1).docx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проект договору</w:t>
            </w:r>
          </w:p>
        </w:tc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Оброблено</w:t>
            </w:r>
          </w:p>
        </w:tc>
      </w:tr>
      <w:tr>
        <w:trPr>
          <w:cantSplit/>
        </w:trPr>
        <w:tc>
          <w:tcPr>
            <w:tcW w:type="dxa" w:w="54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451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4_ Проект договору.docx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проект договору</w:t>
            </w:r>
          </w:p>
        </w:tc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Оброблено</w:t>
            </w:r>
          </w:p>
        </w:tc>
      </w:tr>
      <w:tr>
        <w:trPr>
          <w:cantSplit/>
        </w:trPr>
        <w:tc>
          <w:tcPr>
            <w:tcW w:type="dxa" w:w="54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451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6.1_Відомість ресурсів.rtf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інший додаток</w:t>
            </w:r>
          </w:p>
        </w:tc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Оброблено</w:t>
            </w:r>
          </w:p>
        </w:tc>
      </w:tr>
      <w:tr>
        <w:trPr>
          <w:cantSplit/>
        </w:trPr>
        <w:tc>
          <w:tcPr>
            <w:tcW w:type="dxa" w:w="54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451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6_Дефектний акт.rtf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інший додаток</w:t>
            </w:r>
          </w:p>
        </w:tc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Оброблено</w:t>
            </w:r>
          </w:p>
        </w:tc>
      </w:tr>
      <w:tr>
        <w:trPr>
          <w:cantSplit/>
        </w:trPr>
        <w:tc>
          <w:tcPr>
            <w:tcW w:type="dxa" w:w="54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451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7_Перелік для учасника.doc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інший додаток</w:t>
            </w:r>
          </w:p>
        </w:tc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Оброблено</w:t>
            </w:r>
          </w:p>
        </w:tc>
      </w:tr>
      <w:tr>
        <w:trPr>
          <w:cantSplit/>
        </w:trPr>
        <w:tc>
          <w:tcPr>
            <w:tcW w:type="dxa" w:w="54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451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8_Перелік для переможця.docx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інший додаток</w:t>
            </w:r>
          </w:p>
        </w:tc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Оброблено</w:t>
            </w:r>
          </w:p>
        </w:tc>
      </w:tr>
      <w:tr>
        <w:trPr>
          <w:cantSplit/>
        </w:trPr>
        <w:tc>
          <w:tcPr>
            <w:tcW w:type="dxa" w:w="54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type="dxa" w:w="451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</w:t>
            </w:r>
          </w:p>
        </w:tc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Оброблено</w:t>
            </w:r>
          </w:p>
        </w:tc>
      </w:tr>
    </w:tbl>
    <w:p>
      <w:pPr>
        <w:spacing w:after="140"/>
      </w:pPr>
    </w:p>
    <w:p>
      <w:pPr>
        <w:pStyle w:val="Heading1"/>
        <w:keepNext/>
        <w:spacing w:after="140" w:before="340"/>
      </w:pPr>
      <w:r>
        <w:rPr>
          <w:rFonts w:ascii="Times New Roman" w:cs="Times New Roman" w:eastAsia="Times New Roman" w:hAnsi="Times New Roman"/>
          <w:b/>
          <w:bCs/>
          <w:color w:val="1F4E79"/>
          <w:sz w:val="30"/>
          <w:szCs w:val="30"/>
        </w:rPr>
        <w:t xml:space="preserve">4. Документи, які прямо вимагаються замовником у тендерній документації</w:t>
      </w:r>
    </w:p>
    <w:p>
      <w:pPr>
        <w:spacing w:after="140" w:before="60"/>
      </w:pPr>
      <w:r>
        <w:rPr>
          <w:rFonts w:ascii="Times New Roman" w:cs="Times New Roman" w:eastAsia="Times New Roman" w:hAnsi="Times New Roman"/>
          <w:i/>
          <w:iCs/>
          <w:color w:val="595959"/>
          <w:sz w:val="20"/>
          <w:szCs w:val="20"/>
        </w:rPr>
        <w:t xml:space="preserve">До цього розділу включено як документи, що вимагаються від усіх учасників без винятків, так і документи, обов'язкові за настання певної умови (статус учасника, наявність орендованого майна, спосіб підписання тощо). Умова подання зазначена для кожної позиції окремо.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"/>
        <w:gridCol w:w="4062"/>
        <w:gridCol w:w="2708"/>
        <w:gridCol w:w="1805"/>
      </w:tblGrid>
      <w:tr>
        <w:trPr>
          <w:cantSplit/>
          <w:tblHeader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№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Документ / вимога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Умова подання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Джерело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пропозиція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Документи про повноваження на підписання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Інформація про відповідність технічним вимогам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Лист-згода з проєктом договору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Проєкт договору без ціни та додатків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Довідка про досвід аналогічного договору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Копія аналогічного договору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8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Документи про виконання аналогічного договору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9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Додаткові угоди до аналогічного договору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 наявності змін істотних умов аналогічного договору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10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Лист-відгук контрагента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11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Довідка про уповноважену особу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12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Згода на оброблення персональних даних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13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Довідка про статутні обмеження права підпису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14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Довідка про учасника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15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Гарантійний лист про вивіз сміття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16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Гарантійний лист про безпеку та час робіт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17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Інформація про заходи захисту довкілля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18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 про статус платника податків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19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Лист-гарантія про витрати на участь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20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Самостійне декларування підстав пункту 47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21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Сертифікат відповідності профілів ПВХ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22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Сертифікат відповідності склопакетів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23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Сертифікат відповідності фурнітури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24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Сертифікат відповідності віконних ПВХ блоків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25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Сертифікат відповідності дверних ПВХ блоків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26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Розрахунок вартості виконання робіт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27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Розрахунок договірної ціни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28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Зведений кошторисний розрахунок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29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Локальні кошториси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30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Підсумкова відомість ресурсів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31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Інформація про ціни на матеріальні ресурси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32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Статут або установчий документ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для учасника — юридичної особи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33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Лист з кодом доступу до установчих документів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для учасника — юридичної особи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34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 про призначення керівника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учасник є юридичною особою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35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Довіреність або доручення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пропозицію підписує представник учасника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36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 про створення об’єднання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пропозицію подає об’єднання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37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Копія паспорта або посвідчення особи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учасник є фізичною особою-підприємцем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38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Витяг з реєстру територіальної громади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паспорт ФОП оформлено як ID-картка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39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Лист-роз’яснення про ненадання документа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учасник не зобов’язаний складати документ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40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Довідка про бенефіціарних власників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для учасника-нерезидента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41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Рішення загальних зборів про право підпису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 наявності статутних обмежень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42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Довідка про незалучення субпідрядників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субпідрядники або співвиконавці не залучаються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43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Інформація про субпідрядника або співвиконавця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залучення становить не менше 20% вартості договору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44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Сертифікат ISO 9001 виробника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для локалізованого товару вартістю від 200 тис. грн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45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Довідка про локалізацію товару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для товару з переліку локалізації вартістю від 200 тис. грн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46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Сертифікат походження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країна походження є стороною GPA · ТД вимагає обидва документи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47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Лист-пояснення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країна походження є стороною GPA · ТД вимагає обидва документи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48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Інформаційна довідка про незастосування локалізації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товар не набувається або вартість менше 200 тис. грн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49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Документи за законодавством країни реєстрації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для учасника-нерезидента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50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Лист-роз’яснення нерезидента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законодавство країни нерезидента не передбачає документів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51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Переклад документів нерезидента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для учасника-нерезидента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52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Підтвердження ступеня локалізації товару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для товару, що потребує такого підтвердження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</w:t>
            </w:r>
          </w:p>
        </w:tc>
      </w:tr>
    </w:tbl>
    <w:p>
      <w:pPr>
        <w:spacing w:after="140"/>
      </w:pPr>
    </w:p>
    <w:p>
      <w:pPr>
        <w:pStyle w:val="Heading1"/>
        <w:keepNext/>
        <w:spacing w:after="140" w:before="340"/>
      </w:pPr>
      <w:r>
        <w:rPr>
          <w:rFonts w:ascii="Times New Roman" w:cs="Times New Roman" w:eastAsia="Times New Roman" w:hAnsi="Times New Roman"/>
          <w:b/>
          <w:bCs/>
          <w:color w:val="1F4E79"/>
          <w:sz w:val="30"/>
          <w:szCs w:val="30"/>
        </w:rPr>
        <w:t xml:space="preserve">5. Рекомендовані уніфіковані документи для ТОВ / ФОП</w:t>
      </w:r>
    </w:p>
    <w:p>
      <w:pPr>
        <w:spacing w:after="140" w:before="60"/>
      </w:pPr>
      <w:r>
        <w:rPr>
          <w:rFonts w:ascii="Times New Roman" w:cs="Times New Roman" w:eastAsia="Times New Roman" w:hAnsi="Times New Roman"/>
          <w:i/>
          <w:iCs/>
          <w:color w:val="595959"/>
          <w:sz w:val="20"/>
          <w:szCs w:val="20"/>
        </w:rPr>
        <w:t xml:space="preserve">ВАЖЛИВО: цей блок не є переліком вимог замовника. Тут зазначаються типові документи, які рекомендовано перевірити або підготувати, навіть якщо вони прямо не вказані в ТД. Такі позиції мають позначку «Не зазначено в ТД».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"/>
        <w:gridCol w:w="2889"/>
        <w:gridCol w:w="1083"/>
        <w:gridCol w:w="1715"/>
        <w:gridCol w:w="2888"/>
      </w:tblGrid>
      <w:tr>
        <w:trPr>
          <w:cantSplit/>
          <w:tblHeader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№</w:t>
            </w:r>
          </w:p>
        </w:tc>
        <w:tc>
          <w:tcPr>
            <w:tcW w:type="dxa" w:w="28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Рекомендований документ</w:t>
            </w:r>
          </w:p>
        </w:tc>
        <w:tc>
          <w:tcPr>
            <w:tcW w:type="dxa" w:w="10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Для кого</w:t>
            </w:r>
          </w:p>
        </w:tc>
        <w:tc>
          <w:tcPr>
            <w:tcW w:type="dxa" w:w="171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Статус у ТД</w:t>
            </w:r>
          </w:p>
        </w:tc>
        <w:tc>
          <w:tcPr>
            <w:tcW w:type="dxa" w:w="28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Рекомендація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28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 з ЄДР (витяг або виписка — за фактичною вимогою ТД)</w:t>
            </w:r>
          </w:p>
        </w:tc>
        <w:tc>
          <w:tcPr>
            <w:tcW w:type="dxa" w:w="10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ТОВ / ФОП</w:t>
            </w:r>
          </w:p>
        </w:tc>
        <w:tc>
          <w:tcPr>
            <w:tcW w:type="dxa" w:w="171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Вимагається за певної умови</w:t>
            </w:r>
          </w:p>
        </w:tc>
        <w:tc>
          <w:tcPr>
            <w:tcW w:type="dxa" w:w="28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Мати актуальний документ з ЄДР у формі, яку прямо вимагає ТД, на дату подання.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28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 про систему оподаткування (витяг ПДВ / єдиний податок)</w:t>
            </w:r>
          </w:p>
        </w:tc>
        <w:tc>
          <w:tcPr>
            <w:tcW w:type="dxa" w:w="10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ТОВ / ФОП</w:t>
            </w:r>
          </w:p>
        </w:tc>
        <w:tc>
          <w:tcPr>
            <w:tcW w:type="dxa" w:w="171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Не зазначено в ТД</w:t>
            </w:r>
          </w:p>
        </w:tc>
        <w:tc>
          <w:tcPr>
            <w:tcW w:type="dxa" w:w="28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Підтвердити систему оподаткування для коректного формування ціни.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28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 про повноваження підписанта (протокол, наказ, доручення)</w:t>
            </w:r>
          </w:p>
        </w:tc>
        <w:tc>
          <w:tcPr>
            <w:tcW w:type="dxa" w:w="10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ТОВ</w:t>
            </w:r>
          </w:p>
        </w:tc>
        <w:tc>
          <w:tcPr>
            <w:tcW w:type="dxa" w:w="171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Вимагається у складі пропозиції</w:t>
            </w:r>
          </w:p>
        </w:tc>
        <w:tc>
          <w:tcPr>
            <w:tcW w:type="dxa" w:w="28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Перевірити чинність повноважень особи, яка підписує пропозицію.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28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Паспорт та РНОКПП підписанта / ФОП</w:t>
            </w:r>
          </w:p>
        </w:tc>
        <w:tc>
          <w:tcPr>
            <w:tcW w:type="dxa" w:w="10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ФОП</w:t>
            </w:r>
          </w:p>
        </w:tc>
        <w:tc>
          <w:tcPr>
            <w:tcW w:type="dxa" w:w="171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Вимагається за певної умови</w:t>
            </w:r>
          </w:p>
        </w:tc>
        <w:tc>
          <w:tcPr>
            <w:tcW w:type="dxa" w:w="28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Підготувати скани для ідентифікації підписанта.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28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Банківські реквізити та довідка про рахунок</w:t>
            </w:r>
          </w:p>
        </w:tc>
        <w:tc>
          <w:tcPr>
            <w:tcW w:type="dxa" w:w="10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ТОВ / ФОП</w:t>
            </w:r>
          </w:p>
        </w:tc>
        <w:tc>
          <w:tcPr>
            <w:tcW w:type="dxa" w:w="171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Вимагається у складі пропозиції</w:t>
            </w:r>
          </w:p>
        </w:tc>
        <w:tc>
          <w:tcPr>
            <w:tcW w:type="dxa" w:w="28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Потрібні для проєкту договору та розрахунків.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28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Кваліфікований електронний підпис (КЕП/УЕП)</w:t>
            </w:r>
          </w:p>
        </w:tc>
        <w:tc>
          <w:tcPr>
            <w:tcW w:type="dxa" w:w="10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ТОВ / ФОП</w:t>
            </w:r>
          </w:p>
        </w:tc>
        <w:tc>
          <w:tcPr>
            <w:tcW w:type="dxa" w:w="171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Вимагається у складі пропозиції</w:t>
            </w:r>
          </w:p>
        </w:tc>
        <w:tc>
          <w:tcPr>
            <w:tcW w:type="dxa" w:w="28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Перевірити строк дії підпису до кінцевого строку подання.</w:t>
            </w:r>
          </w:p>
        </w:tc>
      </w:tr>
    </w:tbl>
    <w:p>
      <w:pPr>
        <w:spacing w:after="140"/>
      </w:pPr>
    </w:p>
    <w:p>
      <w:pPr>
        <w:pStyle w:val="Heading1"/>
        <w:keepNext/>
        <w:spacing w:after="140" w:before="340"/>
      </w:pPr>
      <w:r>
        <w:rPr>
          <w:rFonts w:ascii="Times New Roman" w:cs="Times New Roman" w:eastAsia="Times New Roman" w:hAnsi="Times New Roman"/>
          <w:b/>
          <w:bCs/>
          <w:color w:val="1F4E79"/>
          <w:sz w:val="30"/>
          <w:szCs w:val="30"/>
        </w:rPr>
        <w:t xml:space="preserve">6. Технічні вимоги та їх підтвердження</w:t>
      </w:r>
    </w:p>
    <w:p>
      <w:pPr>
        <w:spacing w:after="120"/>
      </w:pPr>
      <w:r>
        <w:rPr>
          <w:rFonts w:ascii="Times New Roman" w:cs="Times New Roman" w:eastAsia="Times New Roman" w:hAnsi="Times New Roman"/>
          <w:color w:val="000000"/>
          <w:sz w:val="20"/>
          <w:szCs w:val="20"/>
        </w:rPr>
        <w:t xml:space="preserve">У розділі наведено ключові технічні вимоги, які потребують перевірки або документального підтвердження у складі пропозиції. Повний перелік технічних характеристик міститься у тендерній документації.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"/>
        <w:gridCol w:w="4062"/>
        <w:gridCol w:w="2979"/>
        <w:gridCol w:w="1534"/>
      </w:tblGrid>
      <w:tr>
        <w:trPr>
          <w:cantSplit/>
          <w:tblHeader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№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Ключова вимога / група вимог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Необхідне підтвердження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Джерело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Віконні блоки ПВХ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Профіль ПВХ, глибина не менше 70 мм; двокамерний енергозберігаючий склопакет; R не менше 0,9 та 0,75 м²·К/Вт.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стандарт: ДБН В.2.6-31:2021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Еквівалент з рівноцінними або кращими характеристиками.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Сертифікат відповідності у складі пропозиції; формулу склопакета зазначити в кошторисі.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Вікно металопластикове, проріз 2080×1890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6-камерний профіль, відкривна стулка; склопакет WDS 6 S СПД 40 мм 4і-14Ar-4-14Ar-4і. м²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11,7936 м²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Окремий спосіб документального підтвердження замовником не визначено.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6.1_Відомість ресурсів.rtf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Вікно металопластикове, проріз 1500×1760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6-камерний профіль, відкривна стулка; склопакет WDS 6 S СПД 40 мм 4і-14Ar-4-14Ar-4і. м²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10,56 м²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Окремий спосіб документального підтвердження замовником не визначено.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6.1_Відомість ресурсів.rtf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Вікно металопластикове, проріз 1470×1760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6-камерний профіль, відкривна стулка; склопакет WDS 6 S СПД 40 мм 4і-14Ar-4-14Ar-4і. м²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10,3488 м²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Окремий спосіб документального підтвердження замовником не визначено.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6.1_Відомість ресурсів.rtf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Вікно металопластикове, проріз 2260×2970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6-камерний профіль, відкривна стулка; склопакет WDS 6 S СПД 40 мм 4і-14Ar-4-14Ar-4і. м²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6,7122 м²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Окремий спосіб документального підтвердження замовником не визначено.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6.1_Відомість ресурсів.rtf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Вікно металопластикове, проріз 2090×1890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6-камерний профіль, відкривна стулка; склопакет WDS 6 S СПД 40 мм 4і-14Ar-4-14Ar-4і. м²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3,9501 м²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Окремий спосіб документального підтвердження замовником не визначено.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6.1_Відомість ресурсів.rtf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Дверні блоки металопластикові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28,135 м²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Окремий спосіб документального підтвердження замовником не визначено.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6.1_Відомість ресурсів.rtf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8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Підвіконня Silver Tech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Ширина 250 мм. м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24,6126 м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Окремий спосіб документального підтвердження замовником не визначено.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6.1_Відомість ресурсів.rtf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9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Віконні ручки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комплект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50 комплектів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Окремий спосіб документального підтвердження замовником не визначено.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6.1_Відомість ресурсів.rtf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10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Ущільнювач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пог. м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224 пог. м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Окремий спосіб документального підтвердження замовником не визначено.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6.1_Відомість ресурсів.rtf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11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Демонтаж засклених віконних рам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43,3647 м²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Кошторисна документація.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6_Дефектний акт.rtf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12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Демонтаж віконних коробок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шт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13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Кошторисна документація.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6_Дефектний акт.rtf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13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Демонтаж дверних полотен і коробок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м² / шт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28,135 м²; 10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Кошторисна документація.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6_Дефектний акт.rtf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14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Монтаж віконних блоків до 3 м²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20,9088 м²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Кошторисна документація.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6_Дефектний акт.rtf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15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Монтаж віконних блоків понад 3 м²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22,4559 м²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Кошторисна документація.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6_Дефектний акт.rtf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16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Монтаж пластикових підвіконь і сталевих відливів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по 24,13 м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Кошторисна документація.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6_Дефектний акт.rtf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17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Монтаж дверних блоків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Понад 3 м² — 17,072 м²; до 2 м² — 3,683 м²; понад 2 до 3 м² — 7,38 м².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28,135 м²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Кошторисна документація.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6_Дефектний акт.rtf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18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Заміна ручок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шт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50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Кошторисна документація.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6_Дефектний акт.rtf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19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Заміна ущільнювача вікон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200 м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Кошторисна документація.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6_Дефектний акт.rtf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20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Вивезення будівельного сміття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Відстань до 15 км. т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2,91755 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Кошторисна документація.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6_Дефектний акт.rtf</w:t>
            </w:r>
          </w:p>
        </w:tc>
      </w:tr>
    </w:tbl>
    <w:p>
      <w:pPr>
        <w:spacing w:after="140"/>
      </w:pPr>
    </w:p>
    <w:p>
      <w:pPr>
        <w:pStyle w:val="Heading1"/>
        <w:keepNext/>
        <w:spacing w:after="140" w:before="340"/>
      </w:pPr>
      <w:r>
        <w:rPr>
          <w:rFonts w:ascii="Times New Roman" w:cs="Times New Roman" w:eastAsia="Times New Roman" w:hAnsi="Times New Roman"/>
          <w:b/>
          <w:bCs/>
          <w:color w:val="1F4E79"/>
          <w:sz w:val="30"/>
          <w:szCs w:val="30"/>
        </w:rPr>
        <w:t xml:space="preserve">7. Ризики та критичні вимоги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64"/>
        <w:gridCol w:w="3068"/>
        <w:gridCol w:w="3069"/>
        <w:gridCol w:w="1625"/>
      </w:tblGrid>
      <w:tr>
        <w:trPr>
          <w:cantSplit/>
          <w:tblHeader/>
        </w:trPr>
        <w:tc>
          <w:tcPr>
            <w:tcW w:type="dxa" w:w="126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Рівень</w:t>
            </w:r>
          </w:p>
        </w:tc>
        <w:tc>
          <w:tcPr>
            <w:tcW w:type="dxa" w:w="30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Ризик / вимога</w:t>
            </w:r>
          </w:p>
        </w:tc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Рекомендована дія</w:t>
            </w:r>
          </w:p>
        </w:tc>
        <w:tc>
          <w:tcPr>
            <w:tcW w:type="dxa" w:w="162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Джерело</w:t>
            </w:r>
          </w:p>
        </w:tc>
      </w:tr>
      <w:tr>
        <w:trPr>
          <w:cantSplit/>
        </w:trPr>
        <w:tc>
          <w:tcPr>
            <w:tcW w:type="dxa" w:w="126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C0392B"/>
                <w:sz w:val="20"/>
                <w:szCs w:val="20"/>
              </w:rPr>
              <w:t xml:space="preserve">Високий</w:t>
            </w:r>
          </w:p>
        </w:tc>
        <w:tc>
          <w:tcPr>
            <w:tcW w:type="dxa" w:w="30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Неузгоджений тип договірної ціни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 визначає динамічну ціну, але одночасно вимагає зазначати тверду ціну в розрахунку; проєкт договору також містить тверду ціну.</w:t>
            </w:r>
          </w:p>
        </w:tc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Запросіть роз’яснення щодо типу ціни та готуйте кошторис після письмового уточнення.</w:t>
            </w:r>
          </w:p>
        </w:tc>
        <w:tc>
          <w:tcPr>
            <w:tcW w:type="dxa" w:w="162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4_ Проект договору.docx, Додаток 4_ Проект договору (1).docx</w:t>
            </w:r>
          </w:p>
        </w:tc>
      </w:tr>
      <w:tr>
        <w:trPr>
          <w:cantSplit/>
        </w:trPr>
        <w:tc>
          <w:tcPr>
            <w:tcW w:type="dxa" w:w="126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C0392B"/>
                <w:sz w:val="20"/>
                <w:szCs w:val="20"/>
              </w:rPr>
              <w:t xml:space="preserve">Високий</w:t>
            </w:r>
          </w:p>
        </w:tc>
        <w:tc>
          <w:tcPr>
            <w:tcW w:type="dxa" w:w="30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Десятирічна гарантія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Проєкт договору передбачає 10 років гарантії на роботи та змонтовані конструкції, із п’ятьма робочими днями на усунення гарантійних недоліків.</w:t>
            </w:r>
          </w:p>
        </w:tc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Перевірте можливість забезпечити гарантію матеріалами, договорами постачання та резервом на сервіс.</w:t>
            </w:r>
          </w:p>
        </w:tc>
        <w:tc>
          <w:tcPr>
            <w:tcW w:type="dxa" w:w="162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4_ Проект договору.docx, Додаток 4_ Проект договору (1).docx</w:t>
            </w:r>
          </w:p>
        </w:tc>
      </w:tr>
      <w:tr>
        <w:trPr>
          <w:cantSplit/>
        </w:trPr>
        <w:tc>
          <w:tcPr>
            <w:tcW w:type="dxa" w:w="126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C0392B"/>
                <w:sz w:val="20"/>
                <w:szCs w:val="20"/>
              </w:rPr>
              <w:t xml:space="preserve">Високий</w:t>
            </w:r>
          </w:p>
        </w:tc>
        <w:tc>
          <w:tcPr>
            <w:tcW w:type="dxa" w:w="30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Фінансова відповідальність за прострочення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Передбачено пеню за кожний день прострочення та щотижневий штраф 3% вартості дефектних робіт.</w:t>
            </w:r>
          </w:p>
        </w:tc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Закладіть реалістичний графік, резерв матеріалів і контроль критичних етапів монтажу.</w:t>
            </w:r>
          </w:p>
        </w:tc>
        <w:tc>
          <w:tcPr>
            <w:tcW w:type="dxa" w:w="162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4_ Проект договору.docx, Додаток 4_ Проект договору (1).docx</w:t>
            </w:r>
          </w:p>
        </w:tc>
      </w:tr>
      <w:tr>
        <w:trPr>
          <w:cantSplit/>
        </w:trPr>
        <w:tc>
          <w:tcPr>
            <w:tcW w:type="dxa" w:w="126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D35400"/>
                <w:sz w:val="20"/>
                <w:szCs w:val="20"/>
              </w:rPr>
              <w:t xml:space="preserve">Середній</w:t>
            </w:r>
          </w:p>
        </w:tc>
        <w:tc>
          <w:tcPr>
            <w:tcW w:type="dxa" w:w="30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Стислі строки завершення і вивезення сміття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Роботи мають бути завершені до 20.09.2026, а будівельне сміття — вивезене не пізніше трьох днів після завершення.</w:t>
            </w:r>
          </w:p>
        </w:tc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Перевірте виробничу спроможність, логістику демонтажу та договір з перевізником відходів.</w:t>
            </w:r>
          </w:p>
        </w:tc>
        <w:tc>
          <w:tcPr>
            <w:tcW w:type="dxa" w:w="162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126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D35400"/>
                <w:sz w:val="20"/>
                <w:szCs w:val="20"/>
              </w:rPr>
              <w:t xml:space="preserve">Середній</w:t>
            </w:r>
          </w:p>
        </w:tc>
        <w:tc>
          <w:tcPr>
            <w:tcW w:type="dxa" w:w="30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Брендові специфікації в ресурсній відомості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Для вікон і підвіконь зазначені WDS та Silver Tech, водночас правила еквівалентності сформульовані загально.</w:t>
            </w:r>
          </w:p>
        </w:tc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 пропозиції еквівалента підготуйте порівняння всіх характеристик і за потреби отримайте роз’яснення.</w:t>
            </w:r>
          </w:p>
        </w:tc>
        <w:tc>
          <w:tcPr>
            <w:tcW w:type="dxa" w:w="162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6.1_Відомість ресурсів.rtf, Тендерна документація.doc</w:t>
            </w:r>
          </w:p>
        </w:tc>
      </w:tr>
      <w:tr>
        <w:trPr>
          <w:cantSplit/>
        </w:trPr>
        <w:tc>
          <w:tcPr>
            <w:tcW w:type="dxa" w:w="126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D35400"/>
                <w:sz w:val="20"/>
                <w:szCs w:val="20"/>
              </w:rPr>
              <w:t xml:space="preserve">Середній</w:t>
            </w:r>
          </w:p>
        </w:tc>
        <w:tc>
          <w:tcPr>
            <w:tcW w:type="dxa" w:w="30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Контроль цін матеріалів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Матеріали мають бути обґрунтовані детальною інформацією про ціну, походження, транспортування і не перевищувати середні регіональні ціни.</w:t>
            </w:r>
          </w:p>
        </w:tc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Зберіть комерційні пропозиції та перевірте відповідність ресурсного розрахунку регіональному рівню цін.</w:t>
            </w:r>
          </w:p>
        </w:tc>
        <w:tc>
          <w:tcPr>
            <w:tcW w:type="dxa" w:w="162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7_Перелік для учасника.doc</w:t>
            </w:r>
          </w:p>
        </w:tc>
      </w:tr>
      <w:tr>
        <w:trPr>
          <w:cantSplit/>
        </w:trPr>
        <w:tc>
          <w:tcPr>
            <w:tcW w:type="dxa" w:w="126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D35400"/>
                <w:sz w:val="20"/>
                <w:szCs w:val="20"/>
              </w:rPr>
              <w:t xml:space="preserve">Середній</w:t>
            </w:r>
          </w:p>
        </w:tc>
        <w:tc>
          <w:tcPr>
            <w:tcW w:type="dxa" w:w="30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Аномально низька ціна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На обґрунтування аномально низької ціни надається один робочий день.</w:t>
            </w:r>
          </w:p>
        </w:tc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Заздалегідь сформуйте калькуляцію, підтвердні ціни постачальників і пояснення собівартості.</w:t>
            </w:r>
          </w:p>
        </w:tc>
        <w:tc>
          <w:tcPr>
            <w:tcW w:type="dxa" w:w="162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</w:t>
            </w:r>
          </w:p>
        </w:tc>
      </w:tr>
    </w:tbl>
    <w:p>
      <w:pPr>
        <w:spacing w:after="140"/>
      </w:pPr>
    </w:p>
    <w:p>
      <w:pPr>
        <w:pStyle w:val="Heading1"/>
        <w:keepNext/>
        <w:spacing w:after="140" w:before="340"/>
      </w:pPr>
      <w:r>
        <w:rPr>
          <w:rFonts w:ascii="Times New Roman" w:cs="Times New Roman" w:eastAsia="Times New Roman" w:hAnsi="Times New Roman"/>
          <w:b/>
          <w:bCs/>
          <w:color w:val="1F4E79"/>
          <w:sz w:val="30"/>
          <w:szCs w:val="30"/>
        </w:rPr>
        <w:t xml:space="preserve">8. Документи переможця</w:t>
      </w:r>
    </w:p>
    <w:p>
      <w:pPr>
        <w:spacing w:after="140" w:before="60"/>
      </w:pPr>
      <w:r>
        <w:rPr>
          <w:rFonts w:ascii="Times New Roman" w:cs="Times New Roman" w:eastAsia="Times New Roman" w:hAnsi="Times New Roman"/>
          <w:i/>
          <w:iCs/>
          <w:color w:val="595959"/>
          <w:sz w:val="20"/>
          <w:szCs w:val="20"/>
        </w:rPr>
        <w:t xml:space="preserve">Документи, які учасник, визначений переможцем, повинен подати після оприлюднення повідомлення про намір укласти договір — до моменту підписання договору.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"/>
        <w:gridCol w:w="3611"/>
        <w:gridCol w:w="3159"/>
        <w:gridCol w:w="1805"/>
      </w:tblGrid>
      <w:tr>
        <w:trPr>
          <w:cantSplit/>
          <w:tblHeader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№</w:t>
            </w:r>
          </w:p>
        </w:tc>
        <w:tc>
          <w:tcPr>
            <w:tcW w:type="dxa" w:w="361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Документ</w:t>
            </w:r>
          </w:p>
        </w:tc>
        <w:tc>
          <w:tcPr>
            <w:tcW w:type="dxa" w:w="315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Строк подання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Джерело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361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Витяг або довідка з реєстру корупційних правопорушень</w:t>
            </w:r>
          </w:p>
        </w:tc>
        <w:tc>
          <w:tcPr>
            <w:tcW w:type="dxa" w:w="315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 4 днів з дати повідомлення про намір укласти договір · щодо керівника або фізичної особи-учасника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8_Перелік для переможця.docx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361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Витяг про відсутність судимості фізичної особи</w:t>
            </w:r>
          </w:p>
        </w:tc>
        <w:tc>
          <w:tcPr>
            <w:tcW w:type="dxa" w:w="315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 4 днів з дати повідомлення про намір укласти договір · якщо учасник є фізичною особою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8_Перелік для переможця.docx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361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Витяг про відсутність судимості керівника</w:t>
            </w:r>
          </w:p>
        </w:tc>
        <w:tc>
          <w:tcPr>
            <w:tcW w:type="dxa" w:w="315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 4 днів з дати повідомлення про намір укласти договір · для учасника — юридичної особи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8_Перелік для переможця.docx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361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Витяг про відсутність судимості щодо дитячої праці</w:t>
            </w:r>
          </w:p>
        </w:tc>
        <w:tc>
          <w:tcPr>
            <w:tcW w:type="dxa" w:w="315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 4 днів з дати повідомлення про намір укласти договір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361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Інформація про право підписання договору</w:t>
            </w:r>
          </w:p>
        </w:tc>
        <w:tc>
          <w:tcPr>
            <w:tcW w:type="dxa" w:w="315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 укладення договору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8_Перелік для переможця.docx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361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Звіт з аналізу цін за Настановою № 591</w:t>
            </w:r>
          </w:p>
        </w:tc>
        <w:tc>
          <w:tcPr>
            <w:tcW w:type="dxa" w:w="315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 укладення договору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type="dxa" w:w="361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Документи про відсутність підстав пункту 47</w:t>
            </w:r>
          </w:p>
        </w:tc>
        <w:tc>
          <w:tcPr>
            <w:tcW w:type="dxa" w:w="315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 4 днів з дати повідомлення про намір укласти договір · за підпунктами 3, 5, 6, 12 пункту 47 Особливостей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8</w:t>
            </w:r>
          </w:p>
        </w:tc>
        <w:tc>
          <w:tcPr>
            <w:tcW w:type="dxa" w:w="361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Календарний графік виконання робіт</w:t>
            </w:r>
          </w:p>
        </w:tc>
        <w:tc>
          <w:tcPr>
            <w:tcW w:type="dxa" w:w="315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 укладення договору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4_ Проект договору.docx, Додаток 4_ Проект договору (1).docx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9</w:t>
            </w:r>
          </w:p>
        </w:tc>
        <w:tc>
          <w:tcPr>
            <w:tcW w:type="dxa" w:w="361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Дефектний акт для договору</w:t>
            </w:r>
          </w:p>
        </w:tc>
        <w:tc>
          <w:tcPr>
            <w:tcW w:type="dxa" w:w="315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 укладення договору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4_ Проект договору.docx, Додаток 4_ Проект договору (1).docx</w:t>
            </w:r>
          </w:p>
        </w:tc>
      </w:tr>
    </w:tbl>
    <w:p>
      <w:pPr>
        <w:spacing w:after="140"/>
      </w:pPr>
    </w:p>
    <w:p>
      <w:pPr>
        <w:pStyle w:val="Heading1"/>
        <w:keepNext/>
        <w:spacing w:after="140" w:before="340"/>
      </w:pPr>
      <w:r>
        <w:rPr>
          <w:rFonts w:ascii="Times New Roman" w:cs="Times New Roman" w:eastAsia="Times New Roman" w:hAnsi="Times New Roman"/>
          <w:b/>
          <w:bCs/>
          <w:color w:val="1F4E79"/>
          <w:sz w:val="30"/>
          <w:szCs w:val="30"/>
        </w:rPr>
        <w:t xml:space="preserve">9. Умови договору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66"/>
        <w:gridCol w:w="5055"/>
        <w:gridCol w:w="1805"/>
      </w:tblGrid>
      <w:tr>
        <w:trPr>
          <w:cantSplit/>
          <w:tblHeader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Умова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Що передбачено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Джерело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Строк поставки / виконання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 20.09.2026 включно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4_ Проект договору.docx, Додаток 4_ Проект договору (1).docx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Місце поставки / виконання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просп. Незалежності, 52/4, м. Біла Церква, Київська область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4_ Проект договору.docx, Додаток 4_ Проект договору (1).docx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Умови поставки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Власні матеріали, сили та засоби підрядника; час робіт узгоджується з керівником закладу.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4_ Проект договору.docx, Додаток 4_ Проект договору (1).docx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Умови оплати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Поетапно після КБ-2в; 15 банківських днів, але не пізніше 30 календарних днів.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4_ Проект договору.docx, Додаток 4_ Проект договору (1).docx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Валюта розрахунків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гривня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ПДВ / формування ціни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Ціна пропозиції без ПДВ; ПДВ враховується для платника ПДВ.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4_ Проект договору.docx, Додаток 4_ Проект договору (1).docx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Забезпечення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Забезпечення виконання договору не вимагається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Штрафні санкції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подвійна облікова ставка НБУ за кожний день прострочення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4_ Проект договору (1).docx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Гарантії та супутні зобов'язання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Матеріали мають відповідати нормативам, кошторису, технологіям монтажу та вимогам виробника.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4_ Проект договору.docx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Інші суттєві положення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Про форс-мажор необхідно повідомити іншу сторону протягом 5 днів.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4_ Проект договору.docx, Додаток 4_ Проект договору (1).docx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Зміна істотних умов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Ціна та обсяг можуть коригуватися додатковою угодою залежно від фінансування.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документація.doc, Додаток 4_ Проект договору.docx, Додаток 4_ Проект договору (1).docx</w:t>
            </w:r>
          </w:p>
        </w:tc>
      </w:tr>
    </w:tbl>
    <w:p>
      <w:pPr>
        <w:spacing w:after="140"/>
      </w:pPr>
    </w:p>
    <w:p>
      <w:pPr>
        <w:keepNext/>
        <w:shd w:fill="FFF2CC" w:val="clear"/>
        <w:spacing w:after="60" w:before="300"/>
      </w:pPr>
      <w:r>
        <w:rPr>
          <w:rFonts w:ascii="Times New Roman" w:cs="Times New Roman" w:eastAsia="Times New Roman" w:hAnsi="Times New Roman"/>
          <w:b/>
          <w:bCs/>
          <w:color w:val="000000"/>
          <w:sz w:val="20"/>
          <w:szCs w:val="20"/>
        </w:rPr>
        <w:t xml:space="preserve">Важливо! Усунення невідповідностей протягом 24 годин</w:t>
      </w:r>
    </w:p>
    <w:p>
      <w:pPr>
        <w:spacing w:after="100"/>
      </w:pPr>
      <w:r>
        <w:rPr>
          <w:rFonts w:ascii="Times New Roman" w:cs="Times New Roman" w:eastAsia="Times New Roman" w:hAnsi="Times New Roman"/>
          <w:color w:val="000000"/>
          <w:sz w:val="20"/>
          <w:szCs w:val="20"/>
        </w:rPr>
        <w:t xml:space="preserve">Законодавство про публічні закупівлі передбачає механізм усунення окремих невідповідностей у тендерній пропозиції протягом установленого строку (24 години) після відповідного повідомлення замовника в електронній системі.</w:t>
      </w:r>
    </w:p>
    <w:p>
      <w:pPr>
        <w:spacing w:after="100"/>
      </w:pPr>
      <w:r>
        <w:rPr>
          <w:rFonts w:ascii="Times New Roman" w:cs="Times New Roman" w:eastAsia="Times New Roman" w:hAnsi="Times New Roman"/>
          <w:color w:val="000000"/>
          <w:sz w:val="20"/>
          <w:szCs w:val="20"/>
        </w:rPr>
        <w:t xml:space="preserve">Механізм застосовується не до всіх вимог: технічні характеристики предмета закупівлі та низка інших положень виправленню в такому порядку не підлягають. Перелік випадків і винятків у кожній закупівлі слід перевіряти за умовами тендерної документації.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026"/>
      </w:tabs>
    </w:pPr>
    <w:r>
      <w:rPr>
        <w:color w:val="595959"/>
        <w:sz w:val="16"/>
        <w:szCs w:val="16"/>
      </w:rPr>
      <w:t xml:space="preserve">TendGo • Звіт аналізу тендерної документації</w:t>
    </w:r>
    <w:r>
      <w:t xml:space="preserve">	</w:t>
    </w:r>
    <w:r>
      <w:rPr>
        <w:color w:val="595959"/>
        <w:sz w:val="16"/>
        <w:szCs w:val="16"/>
      </w:rPr>
      <w:t xml:space="preserve">Стор. </w:t>
    </w:r>
    <w:r>
      <w:rPr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95959"/>
        <w:sz w:val="16"/>
        <w:szCs w:val="16"/>
      </w:rPr>
      <w:t xml:space="preserve"> з </w:t>
    </w:r>
    <w:r>
      <w:rPr>
        <w:color w:val="59595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0"/>
        <w:szCs w:val="20"/>
      </w:rPr>
    </w:rPrDefault>
    <w:pPrDefault>
      <w:pPr>
        <w:spacing w:line="33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2026-08-26T09:29:15.403Z</dcterms:created>
  <dcterms:modified xsi:type="dcterms:W3CDTF">2026-08-26T09:29:15.403Z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